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5875" w14:textId="3218475F" w:rsidR="00FB13FD" w:rsidRDefault="00975DD0" w:rsidP="00975DD0">
      <w:pPr>
        <w:numPr>
          <w:ilvl w:val="0"/>
          <w:numId w:val="21"/>
        </w:numPr>
        <w:tabs>
          <w:tab w:val="clear" w:pos="720"/>
          <w:tab w:val="num" w:pos="360"/>
        </w:tabs>
        <w:spacing w:before="18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005023CC">
        <w:rPr>
          <w:rFonts w:ascii="Arial" w:hAnsi="Arial" w:cs="Arial"/>
          <w:bCs/>
          <w:spacing w:val="-3"/>
          <w:sz w:val="22"/>
          <w:szCs w:val="22"/>
        </w:rPr>
        <w:t xml:space="preserve">October 2018, the Queensland Parliament </w:t>
      </w:r>
      <w:r w:rsidR="005023CC" w:rsidRPr="005023CC">
        <w:rPr>
          <w:rFonts w:ascii="Arial" w:hAnsi="Arial" w:cs="Arial"/>
          <w:bCs/>
          <w:spacing w:val="-3"/>
          <w:sz w:val="22"/>
          <w:szCs w:val="22"/>
        </w:rPr>
        <w:t>Health, Communities, Disability Services and Domestic and Family Violence Prevention Committee</w:t>
      </w:r>
      <w:r w:rsidR="005023CC">
        <w:rPr>
          <w:rFonts w:ascii="Arial" w:hAnsi="Arial" w:cs="Arial"/>
          <w:bCs/>
          <w:spacing w:val="-3"/>
          <w:sz w:val="22"/>
          <w:szCs w:val="22"/>
        </w:rPr>
        <w:t xml:space="preserve"> tabled its Report Number 12: </w:t>
      </w:r>
      <w:r w:rsidR="005023CC" w:rsidRPr="005023CC">
        <w:rPr>
          <w:rFonts w:ascii="Arial" w:hAnsi="Arial" w:cs="Arial"/>
          <w:bCs/>
          <w:i/>
          <w:spacing w:val="-3"/>
          <w:sz w:val="22"/>
          <w:szCs w:val="22"/>
        </w:rPr>
        <w:t>Inquiry into the establishment of a pharmacy council and transfer of pharmacy ownership in Queensland</w:t>
      </w:r>
      <w:r w:rsidR="005023CC">
        <w:rPr>
          <w:rFonts w:ascii="Arial" w:hAnsi="Arial" w:cs="Arial"/>
          <w:bCs/>
          <w:spacing w:val="-3"/>
          <w:sz w:val="22"/>
          <w:szCs w:val="22"/>
        </w:rPr>
        <w:t>.</w:t>
      </w:r>
    </w:p>
    <w:p w14:paraId="7EF37019" w14:textId="7011644C" w:rsidR="00B23FE9" w:rsidRPr="00B23FE9" w:rsidRDefault="00B23FE9" w:rsidP="00975DD0">
      <w:pPr>
        <w:numPr>
          <w:ilvl w:val="0"/>
          <w:numId w:val="21"/>
        </w:numPr>
        <w:tabs>
          <w:tab w:val="clear" w:pos="720"/>
          <w:tab w:val="num" w:pos="360"/>
        </w:tabs>
        <w:spacing w:before="180"/>
        <w:ind w:left="360"/>
        <w:jc w:val="both"/>
        <w:rPr>
          <w:rFonts w:ascii="Arial" w:hAnsi="Arial" w:cs="Arial"/>
          <w:bCs/>
          <w:spacing w:val="-3"/>
          <w:sz w:val="22"/>
          <w:szCs w:val="22"/>
        </w:rPr>
      </w:pPr>
      <w:r w:rsidRPr="00B23FE9">
        <w:rPr>
          <w:rFonts w:ascii="Arial" w:hAnsi="Arial" w:cs="Arial"/>
          <w:bCs/>
          <w:spacing w:val="-3"/>
          <w:sz w:val="22"/>
          <w:szCs w:val="22"/>
        </w:rPr>
        <w:t xml:space="preserve">The Report found that there is no public interest case for establishing a separate state authority, such as a pharmacy council, in Queensland to assume the regulatory functions of ensuring compliance with the pharmacy ownership restrictions and pharmacy premises regulation. This finding is consistent with the Queensland Productivity Commission’s cost-benefit analysis findings that the Queensland </w:t>
      </w:r>
      <w:r w:rsidR="00975DD0">
        <w:rPr>
          <w:rFonts w:ascii="Arial" w:hAnsi="Arial" w:cs="Arial"/>
          <w:bCs/>
          <w:spacing w:val="-3"/>
          <w:sz w:val="22"/>
          <w:szCs w:val="22"/>
        </w:rPr>
        <w:t>c</w:t>
      </w:r>
      <w:r w:rsidRPr="00B23FE9">
        <w:rPr>
          <w:rFonts w:ascii="Arial" w:hAnsi="Arial" w:cs="Arial"/>
          <w:bCs/>
          <w:spacing w:val="-3"/>
          <w:sz w:val="22"/>
          <w:szCs w:val="22"/>
        </w:rPr>
        <w:t xml:space="preserve">ommunity will be unambiguously worse off with the transfer of functions from Queensland Health. However, the Committee did recommend the establishment of a Queensland Pharmacy Advisory Council to support Queensland Health in its administration of the </w:t>
      </w:r>
      <w:bookmarkStart w:id="1" w:name="_Hlk3208054"/>
      <w:r w:rsidRPr="00B23FE9">
        <w:rPr>
          <w:rFonts w:ascii="Arial" w:hAnsi="Arial" w:cs="Arial"/>
          <w:bCs/>
          <w:i/>
          <w:spacing w:val="-3"/>
          <w:sz w:val="22"/>
          <w:szCs w:val="22"/>
        </w:rPr>
        <w:t>Pharmacy Business Ownership Act 2001</w:t>
      </w:r>
      <w:bookmarkEnd w:id="1"/>
      <w:r w:rsidRPr="00B23FE9">
        <w:rPr>
          <w:rFonts w:ascii="Arial" w:hAnsi="Arial" w:cs="Arial"/>
          <w:bCs/>
          <w:spacing w:val="-3"/>
          <w:sz w:val="22"/>
          <w:szCs w:val="22"/>
        </w:rPr>
        <w:t xml:space="preserve"> (PBO Act</w:t>
      </w:r>
      <w:r>
        <w:rPr>
          <w:rFonts w:ascii="Arial" w:hAnsi="Arial" w:cs="Arial"/>
          <w:bCs/>
          <w:spacing w:val="-3"/>
          <w:sz w:val="22"/>
          <w:szCs w:val="22"/>
        </w:rPr>
        <w:t>)</w:t>
      </w:r>
      <w:r w:rsidRPr="00B23FE9">
        <w:rPr>
          <w:rFonts w:ascii="Arial" w:hAnsi="Arial" w:cs="Arial"/>
          <w:bCs/>
          <w:spacing w:val="-3"/>
          <w:sz w:val="22"/>
          <w:szCs w:val="22"/>
        </w:rPr>
        <w:t xml:space="preserve"> and the fulfilment of its regulatory responsibilities to monitor and enforce compliance with the PBO Act. </w:t>
      </w:r>
    </w:p>
    <w:p w14:paraId="3AED2610" w14:textId="51EBB120" w:rsidR="00B23FE9" w:rsidRPr="0032701D" w:rsidRDefault="00B23FE9" w:rsidP="00975DD0">
      <w:pPr>
        <w:numPr>
          <w:ilvl w:val="0"/>
          <w:numId w:val="21"/>
        </w:numPr>
        <w:tabs>
          <w:tab w:val="clear" w:pos="720"/>
          <w:tab w:val="num" w:pos="360"/>
        </w:tabs>
        <w:spacing w:before="180"/>
        <w:ind w:left="360"/>
        <w:jc w:val="both"/>
        <w:rPr>
          <w:rFonts w:ascii="Arial" w:hAnsi="Arial" w:cs="Arial"/>
          <w:bCs/>
          <w:spacing w:val="-3"/>
          <w:sz w:val="22"/>
          <w:szCs w:val="22"/>
        </w:rPr>
      </w:pPr>
      <w:r w:rsidRPr="00B23FE9">
        <w:rPr>
          <w:rFonts w:ascii="Arial" w:hAnsi="Arial" w:cs="Arial"/>
          <w:bCs/>
          <w:spacing w:val="-3"/>
          <w:sz w:val="22"/>
          <w:szCs w:val="22"/>
        </w:rPr>
        <w:t>The</w:t>
      </w:r>
      <w:r w:rsidR="000E1CF7">
        <w:rPr>
          <w:rFonts w:ascii="Arial" w:hAnsi="Arial" w:cs="Arial"/>
          <w:bCs/>
          <w:spacing w:val="-3"/>
          <w:sz w:val="22"/>
          <w:szCs w:val="22"/>
        </w:rPr>
        <w:t xml:space="preserve"> government response</w:t>
      </w:r>
      <w:r w:rsidRPr="00B23FE9">
        <w:rPr>
          <w:rFonts w:ascii="Arial" w:hAnsi="Arial" w:cs="Arial"/>
          <w:bCs/>
          <w:spacing w:val="-3"/>
          <w:sz w:val="22"/>
          <w:szCs w:val="22"/>
        </w:rPr>
        <w:t xml:space="preserve"> accept</w:t>
      </w:r>
      <w:r w:rsidR="000E1CF7">
        <w:rPr>
          <w:rFonts w:ascii="Arial" w:hAnsi="Arial" w:cs="Arial"/>
          <w:bCs/>
          <w:spacing w:val="-3"/>
          <w:sz w:val="22"/>
          <w:szCs w:val="22"/>
        </w:rPr>
        <w:t>s</w:t>
      </w:r>
      <w:r w:rsidRPr="00B23FE9">
        <w:rPr>
          <w:rFonts w:ascii="Arial" w:hAnsi="Arial" w:cs="Arial"/>
          <w:bCs/>
          <w:spacing w:val="-3"/>
          <w:sz w:val="22"/>
          <w:szCs w:val="22"/>
        </w:rPr>
        <w:t xml:space="preserve"> all recommendations from the report, either in </w:t>
      </w:r>
      <w:r w:rsidR="00913CB9">
        <w:rPr>
          <w:rFonts w:ascii="Arial" w:hAnsi="Arial" w:cs="Arial"/>
          <w:bCs/>
          <w:spacing w:val="-3"/>
          <w:sz w:val="22"/>
          <w:szCs w:val="22"/>
        </w:rPr>
        <w:t>ful</w:t>
      </w:r>
      <w:r w:rsidR="0032701D">
        <w:rPr>
          <w:rFonts w:ascii="Arial" w:hAnsi="Arial" w:cs="Arial"/>
          <w:bCs/>
          <w:spacing w:val="-3"/>
          <w:sz w:val="22"/>
          <w:szCs w:val="22"/>
        </w:rPr>
        <w:t xml:space="preserve">l </w:t>
      </w:r>
      <w:r w:rsidRPr="0032701D">
        <w:rPr>
          <w:rFonts w:ascii="Arial" w:hAnsi="Arial" w:cs="Arial"/>
          <w:bCs/>
          <w:spacing w:val="-3"/>
          <w:sz w:val="22"/>
          <w:szCs w:val="22"/>
        </w:rPr>
        <w:t>or in princip</w:t>
      </w:r>
      <w:r w:rsidR="001F66BD" w:rsidRPr="0032701D">
        <w:rPr>
          <w:rFonts w:ascii="Arial" w:hAnsi="Arial" w:cs="Arial"/>
          <w:bCs/>
          <w:spacing w:val="-3"/>
          <w:sz w:val="22"/>
          <w:szCs w:val="22"/>
        </w:rPr>
        <w:t>le</w:t>
      </w:r>
      <w:r w:rsidRPr="0032701D">
        <w:rPr>
          <w:rFonts w:ascii="Arial" w:hAnsi="Arial" w:cs="Arial"/>
          <w:bCs/>
          <w:spacing w:val="-3"/>
          <w:sz w:val="22"/>
          <w:szCs w:val="22"/>
        </w:rPr>
        <w:t xml:space="preserve">. </w:t>
      </w:r>
      <w:r w:rsidR="00975DD0">
        <w:rPr>
          <w:rFonts w:ascii="Arial" w:hAnsi="Arial" w:cs="Arial"/>
          <w:bCs/>
          <w:spacing w:val="-3"/>
          <w:sz w:val="22"/>
          <w:szCs w:val="22"/>
        </w:rPr>
        <w:t xml:space="preserve">The </w:t>
      </w:r>
      <w:r w:rsidRPr="0032701D">
        <w:rPr>
          <w:rFonts w:ascii="Arial" w:hAnsi="Arial" w:cs="Arial"/>
          <w:bCs/>
          <w:spacing w:val="-3"/>
          <w:sz w:val="22"/>
          <w:szCs w:val="22"/>
        </w:rPr>
        <w:t xml:space="preserve">‘in principle’ acceptance is in recognition of the fact, in responding to the recommendations, </w:t>
      </w:r>
      <w:r w:rsidR="00975DD0">
        <w:rPr>
          <w:rFonts w:ascii="Arial" w:hAnsi="Arial" w:cs="Arial"/>
          <w:bCs/>
          <w:spacing w:val="-3"/>
          <w:sz w:val="22"/>
          <w:szCs w:val="22"/>
        </w:rPr>
        <w:t xml:space="preserve">that </w:t>
      </w:r>
      <w:r w:rsidRPr="0032701D">
        <w:rPr>
          <w:rFonts w:ascii="Arial" w:hAnsi="Arial" w:cs="Arial"/>
          <w:bCs/>
          <w:spacing w:val="-3"/>
          <w:sz w:val="22"/>
          <w:szCs w:val="22"/>
        </w:rPr>
        <w:t xml:space="preserve">there </w:t>
      </w:r>
      <w:r w:rsidR="004B4AD7">
        <w:rPr>
          <w:rFonts w:ascii="Arial" w:hAnsi="Arial" w:cs="Arial"/>
          <w:bCs/>
          <w:spacing w:val="-3"/>
          <w:sz w:val="22"/>
          <w:szCs w:val="22"/>
        </w:rPr>
        <w:t>would</w:t>
      </w:r>
      <w:r w:rsidR="004B4AD7" w:rsidRPr="0032701D">
        <w:rPr>
          <w:rFonts w:ascii="Arial" w:hAnsi="Arial" w:cs="Arial"/>
          <w:bCs/>
          <w:spacing w:val="-3"/>
          <w:sz w:val="22"/>
          <w:szCs w:val="22"/>
        </w:rPr>
        <w:t xml:space="preserve"> </w:t>
      </w:r>
      <w:r w:rsidRPr="0032701D">
        <w:rPr>
          <w:rFonts w:ascii="Arial" w:hAnsi="Arial" w:cs="Arial"/>
          <w:bCs/>
          <w:spacing w:val="-3"/>
          <w:sz w:val="22"/>
          <w:szCs w:val="22"/>
        </w:rPr>
        <w:t>be significant consultation with experts, other jurisdictions, and industry and other stakeholders that may affect how the response is ultimately implemented</w:t>
      </w:r>
      <w:r w:rsidR="00CD4BCF" w:rsidRPr="0032701D">
        <w:rPr>
          <w:rFonts w:ascii="Arial" w:hAnsi="Arial" w:cs="Arial"/>
          <w:bCs/>
          <w:spacing w:val="-3"/>
          <w:sz w:val="22"/>
          <w:szCs w:val="22"/>
        </w:rPr>
        <w:t>.</w:t>
      </w:r>
    </w:p>
    <w:p w14:paraId="0FA32FFC" w14:textId="36D9F800" w:rsidR="00B23FE9" w:rsidRPr="00B23FE9" w:rsidRDefault="00B23FE9" w:rsidP="00975DD0">
      <w:pPr>
        <w:numPr>
          <w:ilvl w:val="0"/>
          <w:numId w:val="21"/>
        </w:numPr>
        <w:tabs>
          <w:tab w:val="clear" w:pos="720"/>
          <w:tab w:val="num" w:pos="360"/>
        </w:tabs>
        <w:spacing w:before="180"/>
        <w:ind w:left="360"/>
        <w:jc w:val="both"/>
        <w:rPr>
          <w:rFonts w:ascii="Arial" w:hAnsi="Arial" w:cs="Arial"/>
          <w:bCs/>
          <w:spacing w:val="-3"/>
          <w:sz w:val="22"/>
          <w:szCs w:val="22"/>
        </w:rPr>
      </w:pPr>
      <w:r w:rsidRPr="00B23FE9">
        <w:rPr>
          <w:rFonts w:ascii="Arial" w:hAnsi="Arial" w:cs="Arial"/>
          <w:bCs/>
          <w:spacing w:val="-3"/>
          <w:sz w:val="22"/>
          <w:szCs w:val="22"/>
        </w:rPr>
        <w:t>Key responses include:</w:t>
      </w:r>
    </w:p>
    <w:p w14:paraId="027484EE" w14:textId="0EC8D736" w:rsidR="00B23FE9" w:rsidRPr="00B23FE9"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Pr>
          <w:rFonts w:ascii="Arial" w:hAnsi="Arial" w:cs="Arial"/>
          <w:bCs/>
          <w:spacing w:val="-3"/>
          <w:sz w:val="22"/>
          <w:szCs w:val="22"/>
        </w:rPr>
        <w:t>a</w:t>
      </w:r>
      <w:r w:rsidRPr="00B23FE9">
        <w:rPr>
          <w:rFonts w:ascii="Arial" w:hAnsi="Arial" w:cs="Arial"/>
          <w:bCs/>
          <w:spacing w:val="-3"/>
          <w:sz w:val="22"/>
          <w:szCs w:val="22"/>
        </w:rPr>
        <w:t xml:space="preserve"> reduction in the minimum patient age requirement for pharmacist-administered </w:t>
      </w:r>
      <w:r>
        <w:rPr>
          <w:rFonts w:ascii="Arial" w:hAnsi="Arial" w:cs="Arial"/>
          <w:bCs/>
          <w:spacing w:val="-3"/>
          <w:sz w:val="22"/>
          <w:szCs w:val="22"/>
        </w:rPr>
        <w:t>vaccinations to 16 years of age</w:t>
      </w:r>
    </w:p>
    <w:p w14:paraId="4B1C62A5" w14:textId="5A5435AF" w:rsidR="00B23FE9" w:rsidRPr="00B23FE9"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Pr>
          <w:rFonts w:ascii="Arial" w:hAnsi="Arial" w:cs="Arial"/>
          <w:bCs/>
          <w:spacing w:val="-3"/>
          <w:sz w:val="22"/>
          <w:szCs w:val="22"/>
        </w:rPr>
        <w:t>c</w:t>
      </w:r>
      <w:r w:rsidRPr="00B23FE9">
        <w:rPr>
          <w:rFonts w:ascii="Arial" w:hAnsi="Arial" w:cs="Arial"/>
          <w:bCs/>
          <w:spacing w:val="-3"/>
          <w:sz w:val="22"/>
          <w:szCs w:val="22"/>
        </w:rPr>
        <w:t>onsideration of options for new models of care in relation to low-risk emergency and repeat prescriptions</w:t>
      </w:r>
    </w:p>
    <w:p w14:paraId="1B013906" w14:textId="5C958F40" w:rsidR="00B23FE9" w:rsidRPr="00B23FE9"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Pr>
          <w:rFonts w:ascii="Arial" w:hAnsi="Arial" w:cs="Arial"/>
          <w:bCs/>
          <w:spacing w:val="-3"/>
          <w:sz w:val="22"/>
          <w:szCs w:val="22"/>
        </w:rPr>
        <w:t>c</w:t>
      </w:r>
      <w:r w:rsidRPr="00B23FE9">
        <w:rPr>
          <w:rFonts w:ascii="Arial" w:hAnsi="Arial" w:cs="Arial"/>
          <w:bCs/>
          <w:spacing w:val="-3"/>
          <w:sz w:val="22"/>
          <w:szCs w:val="22"/>
        </w:rPr>
        <w:t>onsideration of options for pharmacist administration of low-risk vaccinations (including travel vaccinations)</w:t>
      </w:r>
    </w:p>
    <w:p w14:paraId="18F566EF" w14:textId="35494DA2" w:rsidR="00B23FE9" w:rsidRPr="00B23FE9"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Pr>
          <w:rFonts w:ascii="Arial" w:hAnsi="Arial" w:cs="Arial"/>
          <w:bCs/>
          <w:spacing w:val="-3"/>
          <w:sz w:val="22"/>
          <w:szCs w:val="22"/>
        </w:rPr>
        <w:t>a</w:t>
      </w:r>
      <w:r w:rsidRPr="00B23FE9">
        <w:rPr>
          <w:rFonts w:ascii="Arial" w:hAnsi="Arial" w:cs="Arial"/>
          <w:bCs/>
          <w:spacing w:val="-3"/>
          <w:sz w:val="22"/>
          <w:szCs w:val="22"/>
        </w:rPr>
        <w:t xml:space="preserve"> review of education and training requirements for community and hospital pharmacy assistants</w:t>
      </w:r>
    </w:p>
    <w:p w14:paraId="197AAACE" w14:textId="09A1A575" w:rsidR="00B23FE9" w:rsidRPr="007F2EBE"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sidRPr="007F2EBE">
        <w:rPr>
          <w:rFonts w:ascii="Arial" w:hAnsi="Arial" w:cs="Arial"/>
          <w:bCs/>
          <w:spacing w:val="-3"/>
          <w:sz w:val="22"/>
          <w:szCs w:val="22"/>
        </w:rPr>
        <w:t xml:space="preserve">the establishment of a Queensland </w:t>
      </w:r>
      <w:r w:rsidR="00F111D1">
        <w:rPr>
          <w:rFonts w:ascii="Arial" w:hAnsi="Arial" w:cs="Arial"/>
          <w:bCs/>
          <w:spacing w:val="-3"/>
          <w:sz w:val="22"/>
          <w:szCs w:val="22"/>
        </w:rPr>
        <w:t>p</w:t>
      </w:r>
      <w:r w:rsidRPr="007F2EBE">
        <w:rPr>
          <w:rFonts w:ascii="Arial" w:hAnsi="Arial" w:cs="Arial"/>
          <w:bCs/>
          <w:spacing w:val="-3"/>
          <w:sz w:val="22"/>
          <w:szCs w:val="22"/>
        </w:rPr>
        <w:t xml:space="preserve">harmacy </w:t>
      </w:r>
      <w:r w:rsidR="00F111D1">
        <w:rPr>
          <w:rFonts w:ascii="Arial" w:hAnsi="Arial" w:cs="Arial"/>
          <w:bCs/>
          <w:spacing w:val="-3"/>
          <w:sz w:val="22"/>
          <w:szCs w:val="22"/>
        </w:rPr>
        <w:t>a</w:t>
      </w:r>
      <w:r w:rsidRPr="007F2EBE">
        <w:rPr>
          <w:rFonts w:ascii="Arial" w:hAnsi="Arial" w:cs="Arial"/>
          <w:bCs/>
          <w:spacing w:val="-3"/>
          <w:sz w:val="22"/>
          <w:szCs w:val="22"/>
        </w:rPr>
        <w:t xml:space="preserve">dvisory </w:t>
      </w:r>
      <w:r w:rsidR="00F111D1">
        <w:rPr>
          <w:rFonts w:ascii="Arial" w:hAnsi="Arial" w:cs="Arial"/>
          <w:bCs/>
          <w:spacing w:val="-3"/>
          <w:sz w:val="22"/>
          <w:szCs w:val="22"/>
        </w:rPr>
        <w:t>c</w:t>
      </w:r>
      <w:r w:rsidRPr="007F2EBE">
        <w:rPr>
          <w:rFonts w:ascii="Arial" w:hAnsi="Arial" w:cs="Arial"/>
          <w:bCs/>
          <w:spacing w:val="-3"/>
          <w:sz w:val="22"/>
          <w:szCs w:val="22"/>
        </w:rPr>
        <w:t xml:space="preserve">ouncil, with an </w:t>
      </w:r>
      <w:r w:rsidR="00F111D1">
        <w:rPr>
          <w:rFonts w:ascii="Arial" w:hAnsi="Arial" w:cs="Arial"/>
          <w:bCs/>
          <w:spacing w:val="-3"/>
          <w:sz w:val="22"/>
          <w:szCs w:val="22"/>
        </w:rPr>
        <w:t>i</w:t>
      </w:r>
      <w:r w:rsidRPr="007F2EBE">
        <w:rPr>
          <w:rFonts w:ascii="Arial" w:hAnsi="Arial" w:cs="Arial"/>
          <w:bCs/>
          <w:spacing w:val="-3"/>
          <w:sz w:val="22"/>
          <w:szCs w:val="22"/>
        </w:rPr>
        <w:t xml:space="preserve">nterim </w:t>
      </w:r>
      <w:r w:rsidR="00F111D1">
        <w:rPr>
          <w:rFonts w:ascii="Arial" w:hAnsi="Arial" w:cs="Arial"/>
          <w:bCs/>
          <w:spacing w:val="-3"/>
          <w:sz w:val="22"/>
          <w:szCs w:val="22"/>
        </w:rPr>
        <w:t>p</w:t>
      </w:r>
      <w:r w:rsidRPr="007F2EBE">
        <w:rPr>
          <w:rFonts w:ascii="Arial" w:hAnsi="Arial" w:cs="Arial"/>
          <w:bCs/>
          <w:spacing w:val="-3"/>
          <w:sz w:val="22"/>
          <w:szCs w:val="22"/>
        </w:rPr>
        <w:t xml:space="preserve">harmacy </w:t>
      </w:r>
      <w:r w:rsidR="00520115">
        <w:rPr>
          <w:rFonts w:ascii="Arial" w:hAnsi="Arial" w:cs="Arial"/>
          <w:bCs/>
          <w:spacing w:val="-3"/>
          <w:sz w:val="22"/>
          <w:szCs w:val="22"/>
        </w:rPr>
        <w:t>r</w:t>
      </w:r>
      <w:r w:rsidRPr="007F2EBE">
        <w:rPr>
          <w:rFonts w:ascii="Arial" w:hAnsi="Arial" w:cs="Arial"/>
          <w:bCs/>
          <w:spacing w:val="-3"/>
          <w:sz w:val="22"/>
          <w:szCs w:val="22"/>
        </w:rPr>
        <w:t xml:space="preserve">oundtable being established for the short term, prior to </w:t>
      </w:r>
      <w:r w:rsidR="00F111D1">
        <w:rPr>
          <w:rFonts w:ascii="Arial" w:hAnsi="Arial" w:cs="Arial"/>
          <w:bCs/>
          <w:spacing w:val="-3"/>
          <w:sz w:val="22"/>
          <w:szCs w:val="22"/>
        </w:rPr>
        <w:t>a</w:t>
      </w:r>
      <w:r w:rsidRPr="007F2EBE">
        <w:rPr>
          <w:rFonts w:ascii="Arial" w:hAnsi="Arial" w:cs="Arial"/>
          <w:bCs/>
          <w:spacing w:val="-3"/>
          <w:sz w:val="22"/>
          <w:szCs w:val="22"/>
        </w:rPr>
        <w:t xml:space="preserve"> </w:t>
      </w:r>
      <w:r w:rsidR="00F111D1">
        <w:rPr>
          <w:rFonts w:ascii="Arial" w:hAnsi="Arial" w:cs="Arial"/>
          <w:bCs/>
          <w:spacing w:val="-3"/>
          <w:sz w:val="22"/>
          <w:szCs w:val="22"/>
        </w:rPr>
        <w:t>c</w:t>
      </w:r>
      <w:r w:rsidRPr="007F2EBE">
        <w:rPr>
          <w:rFonts w:ascii="Arial" w:hAnsi="Arial" w:cs="Arial"/>
          <w:bCs/>
          <w:spacing w:val="-3"/>
          <w:sz w:val="22"/>
          <w:szCs w:val="22"/>
        </w:rPr>
        <w:t>ouncil being established</w:t>
      </w:r>
    </w:p>
    <w:p w14:paraId="11F75B5C" w14:textId="6A486A54" w:rsidR="00B23FE9" w:rsidRPr="007F2EBE"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sidRPr="007F2EBE">
        <w:rPr>
          <w:rFonts w:ascii="Arial" w:hAnsi="Arial" w:cs="Arial"/>
          <w:bCs/>
          <w:spacing w:val="-3"/>
          <w:sz w:val="22"/>
          <w:szCs w:val="22"/>
        </w:rPr>
        <w:t>transformation of systems and processes to administer the PBO Act</w:t>
      </w:r>
    </w:p>
    <w:p w14:paraId="59788694" w14:textId="77A60572" w:rsidR="00B23FE9" w:rsidRPr="007F2EBE"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sidRPr="007F2EBE">
        <w:rPr>
          <w:rFonts w:ascii="Arial" w:hAnsi="Arial" w:cs="Arial"/>
          <w:bCs/>
          <w:spacing w:val="-3"/>
          <w:sz w:val="22"/>
          <w:szCs w:val="22"/>
        </w:rPr>
        <w:t xml:space="preserve">amendments to the PBO Act to enable Queensland Health to more effectively regulate pharmacy ownership in Queensland and to support the Committee’s recommendations. This </w:t>
      </w:r>
      <w:r w:rsidR="004B4AD7">
        <w:rPr>
          <w:rFonts w:ascii="Arial" w:hAnsi="Arial" w:cs="Arial"/>
          <w:bCs/>
          <w:spacing w:val="-3"/>
          <w:sz w:val="22"/>
          <w:szCs w:val="22"/>
        </w:rPr>
        <w:t>would</w:t>
      </w:r>
      <w:r w:rsidR="004B4AD7" w:rsidRPr="007F2EBE">
        <w:rPr>
          <w:rFonts w:ascii="Arial" w:hAnsi="Arial" w:cs="Arial"/>
          <w:bCs/>
          <w:spacing w:val="-3"/>
          <w:sz w:val="22"/>
          <w:szCs w:val="22"/>
        </w:rPr>
        <w:t xml:space="preserve"> </w:t>
      </w:r>
      <w:r w:rsidRPr="007F2EBE">
        <w:rPr>
          <w:rFonts w:ascii="Arial" w:hAnsi="Arial" w:cs="Arial"/>
          <w:bCs/>
          <w:spacing w:val="-3"/>
          <w:sz w:val="22"/>
          <w:szCs w:val="22"/>
        </w:rPr>
        <w:t>include the introduction of a licensing and registration requirement with associated fees to cover the cost of the Council and offset the cost of increased regulation of the pharmacy industry.</w:t>
      </w:r>
    </w:p>
    <w:p w14:paraId="7FCFB168" w14:textId="705C71B3" w:rsidR="00B23FE9" w:rsidRPr="00B23FE9" w:rsidRDefault="00B23FE9" w:rsidP="00975DD0">
      <w:pPr>
        <w:numPr>
          <w:ilvl w:val="0"/>
          <w:numId w:val="37"/>
        </w:numPr>
        <w:tabs>
          <w:tab w:val="clear" w:pos="720"/>
        </w:tabs>
        <w:spacing w:before="60"/>
        <w:ind w:left="714" w:hanging="357"/>
        <w:jc w:val="both"/>
        <w:rPr>
          <w:rFonts w:ascii="Arial" w:hAnsi="Arial" w:cs="Arial"/>
          <w:bCs/>
          <w:spacing w:val="-3"/>
          <w:sz w:val="22"/>
          <w:szCs w:val="22"/>
        </w:rPr>
      </w:pPr>
      <w:r w:rsidRPr="007F2EBE">
        <w:rPr>
          <w:rFonts w:ascii="Arial" w:hAnsi="Arial" w:cs="Arial"/>
          <w:bCs/>
          <w:spacing w:val="-3"/>
          <w:sz w:val="22"/>
          <w:szCs w:val="22"/>
        </w:rPr>
        <w:t>implementation of a compliance reporting framework to improve transparency and maintain</w:t>
      </w:r>
      <w:r w:rsidRPr="00B23FE9">
        <w:rPr>
          <w:rFonts w:ascii="Arial" w:hAnsi="Arial" w:cs="Arial"/>
          <w:bCs/>
          <w:spacing w:val="-3"/>
          <w:sz w:val="22"/>
          <w:szCs w:val="22"/>
        </w:rPr>
        <w:t xml:space="preserve"> public confidence in the pharmacy profession.</w:t>
      </w:r>
    </w:p>
    <w:p w14:paraId="2C0E04FA" w14:textId="530CA2FA" w:rsidR="00FB13FD" w:rsidRPr="00CE6FBA" w:rsidRDefault="00FB13FD" w:rsidP="00975DD0">
      <w:pPr>
        <w:numPr>
          <w:ilvl w:val="0"/>
          <w:numId w:val="21"/>
        </w:numPr>
        <w:tabs>
          <w:tab w:val="clear" w:pos="720"/>
          <w:tab w:val="num" w:pos="360"/>
        </w:tabs>
        <w:spacing w:before="18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5023CC">
        <w:rPr>
          <w:rFonts w:ascii="Arial" w:hAnsi="Arial" w:cs="Arial"/>
          <w:sz w:val="22"/>
          <w:szCs w:val="22"/>
          <w:u w:val="single"/>
        </w:rPr>
        <w:t>endorsed</w:t>
      </w:r>
      <w:r>
        <w:rPr>
          <w:rFonts w:ascii="Arial" w:hAnsi="Arial" w:cs="Arial"/>
          <w:sz w:val="22"/>
          <w:szCs w:val="22"/>
        </w:rPr>
        <w:t xml:space="preserve"> </w:t>
      </w:r>
      <w:r w:rsidR="005023CC">
        <w:rPr>
          <w:rFonts w:ascii="Arial" w:hAnsi="Arial" w:cs="Arial"/>
          <w:sz w:val="22"/>
          <w:szCs w:val="22"/>
        </w:rPr>
        <w:t xml:space="preserve">the Government response to the </w:t>
      </w:r>
      <w:r w:rsidR="005023CC" w:rsidRPr="005023CC">
        <w:rPr>
          <w:rFonts w:ascii="Arial" w:hAnsi="Arial" w:cs="Arial"/>
          <w:bCs/>
          <w:spacing w:val="-3"/>
          <w:sz w:val="22"/>
          <w:szCs w:val="22"/>
        </w:rPr>
        <w:t>Health, Communities, Disability Services and Domestic and Family Violence Prevention Committee</w:t>
      </w:r>
      <w:r w:rsidR="005023CC">
        <w:rPr>
          <w:rFonts w:ascii="Arial" w:hAnsi="Arial" w:cs="Arial"/>
          <w:bCs/>
          <w:spacing w:val="-3"/>
          <w:sz w:val="22"/>
          <w:szCs w:val="22"/>
        </w:rPr>
        <w:t>’s inquiry</w:t>
      </w:r>
      <w:r w:rsidR="000E1CF7">
        <w:rPr>
          <w:rFonts w:ascii="Arial" w:hAnsi="Arial" w:cs="Arial"/>
          <w:sz w:val="22"/>
          <w:szCs w:val="22"/>
        </w:rPr>
        <w:t xml:space="preserve">, </w:t>
      </w:r>
      <w:r w:rsidR="00975DD0">
        <w:rPr>
          <w:rFonts w:ascii="Arial" w:hAnsi="Arial" w:cs="Arial"/>
          <w:sz w:val="22"/>
          <w:szCs w:val="22"/>
        </w:rPr>
        <w:t xml:space="preserve">to </w:t>
      </w:r>
      <w:r w:rsidR="000E1CF7">
        <w:rPr>
          <w:rFonts w:ascii="Arial" w:hAnsi="Arial" w:cs="Arial"/>
          <w:sz w:val="22"/>
          <w:szCs w:val="22"/>
        </w:rPr>
        <w:t>be tabled in the Legislative Assembly.</w:t>
      </w:r>
    </w:p>
    <w:p w14:paraId="7151C69F" w14:textId="77777777" w:rsidR="00FB13FD" w:rsidRPr="00C07656" w:rsidRDefault="00FB13FD" w:rsidP="00975DD0">
      <w:pPr>
        <w:numPr>
          <w:ilvl w:val="0"/>
          <w:numId w:val="21"/>
        </w:numPr>
        <w:tabs>
          <w:tab w:val="clear" w:pos="720"/>
          <w:tab w:val="num" w:pos="360"/>
        </w:tabs>
        <w:spacing w:before="360"/>
        <w:ind w:left="360"/>
        <w:jc w:val="both"/>
        <w:rPr>
          <w:rFonts w:ascii="Arial" w:hAnsi="Arial" w:cs="Arial"/>
          <w:sz w:val="22"/>
          <w:szCs w:val="22"/>
        </w:rPr>
      </w:pPr>
      <w:r w:rsidRPr="00046960">
        <w:rPr>
          <w:rFonts w:ascii="Arial" w:hAnsi="Arial" w:cs="Arial"/>
          <w:i/>
          <w:sz w:val="22"/>
          <w:szCs w:val="22"/>
          <w:u w:val="single"/>
        </w:rPr>
        <w:t>Attachments</w:t>
      </w:r>
    </w:p>
    <w:bookmarkStart w:id="2" w:name="_Hlk9434160"/>
    <w:p w14:paraId="2292AD58" w14:textId="57363C64" w:rsidR="00975DD0" w:rsidRPr="003E3AAE" w:rsidRDefault="00B938D7" w:rsidP="00975DD0">
      <w:pPr>
        <w:numPr>
          <w:ilvl w:val="0"/>
          <w:numId w:val="37"/>
        </w:numPr>
        <w:tabs>
          <w:tab w:val="clear" w:pos="720"/>
        </w:tabs>
        <w:spacing w:before="80"/>
        <w:ind w:left="714" w:hanging="357"/>
        <w:jc w:val="both"/>
        <w:rPr>
          <w:rFonts w:ascii="Arial" w:hAnsi="Arial" w:cs="Arial"/>
          <w:sz w:val="22"/>
          <w:szCs w:val="22"/>
        </w:rPr>
      </w:pPr>
      <w:r>
        <w:rPr>
          <w:rFonts w:ascii="Arial" w:hAnsi="Arial" w:cs="Arial"/>
          <w:sz w:val="22"/>
          <w:szCs w:val="22"/>
        </w:rPr>
        <w:fldChar w:fldCharType="begin"/>
      </w:r>
      <w:r w:rsidR="00C74852">
        <w:rPr>
          <w:rFonts w:ascii="Arial" w:hAnsi="Arial" w:cs="Arial"/>
          <w:sz w:val="22"/>
          <w:szCs w:val="22"/>
        </w:rPr>
        <w:instrText>HYPERLINK "Attachments/Report.pdf"</w:instrText>
      </w:r>
      <w:r w:rsidR="00C74852">
        <w:rPr>
          <w:rFonts w:ascii="Arial" w:hAnsi="Arial" w:cs="Arial"/>
          <w:sz w:val="22"/>
          <w:szCs w:val="22"/>
        </w:rPr>
      </w:r>
      <w:r>
        <w:rPr>
          <w:rFonts w:ascii="Arial" w:hAnsi="Arial" w:cs="Arial"/>
          <w:sz w:val="22"/>
          <w:szCs w:val="22"/>
        </w:rPr>
        <w:fldChar w:fldCharType="separate"/>
      </w:r>
      <w:r w:rsidR="00975DD0" w:rsidRPr="00B938D7">
        <w:rPr>
          <w:rStyle w:val="Hyperlink"/>
          <w:rFonts w:ascii="Arial" w:hAnsi="Arial" w:cs="Arial"/>
          <w:sz w:val="22"/>
          <w:szCs w:val="22"/>
        </w:rPr>
        <w:t xml:space="preserve">Health, Communities, Disability Services and Domestic and Family Violence Prevention Committee: Report No. 12, October 2018 – </w:t>
      </w:r>
      <w:r w:rsidR="00975DD0" w:rsidRPr="00B938D7">
        <w:rPr>
          <w:rStyle w:val="Hyperlink"/>
          <w:rFonts w:ascii="Arial" w:hAnsi="Arial" w:cs="Arial"/>
          <w:i/>
          <w:sz w:val="22"/>
          <w:szCs w:val="22"/>
        </w:rPr>
        <w:t>Inquiry into the establishment of a pharmacy council and transfer of pharmacy ownership in Queensland</w:t>
      </w:r>
      <w:r>
        <w:rPr>
          <w:rFonts w:ascii="Arial" w:hAnsi="Arial" w:cs="Arial"/>
          <w:sz w:val="22"/>
          <w:szCs w:val="22"/>
        </w:rPr>
        <w:fldChar w:fldCharType="end"/>
      </w:r>
    </w:p>
    <w:p w14:paraId="61A261F4" w14:textId="559C36B6" w:rsidR="00FB13FD" w:rsidRPr="003E3AAE" w:rsidRDefault="00C74852" w:rsidP="00D354B8">
      <w:pPr>
        <w:numPr>
          <w:ilvl w:val="0"/>
          <w:numId w:val="37"/>
        </w:numPr>
        <w:tabs>
          <w:tab w:val="clear" w:pos="720"/>
        </w:tabs>
        <w:spacing w:before="80"/>
        <w:ind w:left="714" w:hanging="357"/>
        <w:jc w:val="both"/>
        <w:rPr>
          <w:rFonts w:ascii="Arial" w:hAnsi="Arial" w:cs="Arial"/>
          <w:sz w:val="22"/>
          <w:szCs w:val="22"/>
        </w:rPr>
      </w:pPr>
      <w:hyperlink r:id="rId11" w:history="1">
        <w:r w:rsidR="005023CC" w:rsidRPr="00B938D7">
          <w:rPr>
            <w:rStyle w:val="Hyperlink"/>
            <w:rFonts w:ascii="Arial" w:hAnsi="Arial" w:cs="Arial"/>
            <w:sz w:val="22"/>
            <w:szCs w:val="22"/>
          </w:rPr>
          <w:t>Queensland Government response to the Report</w:t>
        </w:r>
        <w:bookmarkEnd w:id="2"/>
      </w:hyperlink>
    </w:p>
    <w:sectPr w:rsidR="00FB13FD" w:rsidRPr="003E3AAE" w:rsidSect="00975DD0">
      <w:headerReference w:type="default" r:id="rId12"/>
      <w:pgSz w:w="11906" w:h="16838" w:code="9"/>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1CDE" w14:textId="77777777" w:rsidR="006E603F" w:rsidRDefault="006E603F">
      <w:r>
        <w:separator/>
      </w:r>
    </w:p>
  </w:endnote>
  <w:endnote w:type="continuationSeparator" w:id="0">
    <w:p w14:paraId="00E4EB5A" w14:textId="77777777" w:rsidR="006E603F" w:rsidRDefault="006E603F">
      <w:r>
        <w:continuationSeparator/>
      </w:r>
    </w:p>
  </w:endnote>
  <w:endnote w:type="continuationNotice" w:id="1">
    <w:p w14:paraId="6137598D" w14:textId="77777777" w:rsidR="006E603F" w:rsidRDefault="006E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2C05" w14:textId="77777777" w:rsidR="006E603F" w:rsidRDefault="006E603F">
      <w:r>
        <w:separator/>
      </w:r>
    </w:p>
  </w:footnote>
  <w:footnote w:type="continuationSeparator" w:id="0">
    <w:p w14:paraId="3B63A43F" w14:textId="77777777" w:rsidR="006E603F" w:rsidRDefault="006E603F">
      <w:r>
        <w:continuationSeparator/>
      </w:r>
    </w:p>
  </w:footnote>
  <w:footnote w:type="continuationNotice" w:id="1">
    <w:p w14:paraId="4E1A5C6A" w14:textId="77777777" w:rsidR="006E603F" w:rsidRDefault="006E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AFBF" w14:textId="40B053B5" w:rsidR="00D07A9F" w:rsidRPr="003E3AAE" w:rsidRDefault="00D07A9F" w:rsidP="004E755A">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14:paraId="698536F5" w14:textId="77777777" w:rsidR="00D07A9F" w:rsidRPr="00D75134" w:rsidRDefault="00D07A9F"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DC42318" w14:textId="2D5F71FA" w:rsidR="00D07A9F" w:rsidRPr="001E209B" w:rsidRDefault="00D07A9F"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5023CC">
      <w:rPr>
        <w:rFonts w:ascii="Arial" w:hAnsi="Arial" w:cs="Arial"/>
        <w:b/>
        <w:sz w:val="22"/>
        <w:szCs w:val="22"/>
      </w:rPr>
      <w:t>April 2019</w:t>
    </w:r>
  </w:p>
  <w:p w14:paraId="1648C054" w14:textId="77777777" w:rsidR="005023CC" w:rsidRDefault="005023CC" w:rsidP="00FB13FD">
    <w:pPr>
      <w:pStyle w:val="Header"/>
      <w:spacing w:before="120"/>
      <w:rPr>
        <w:rFonts w:ascii="Arial" w:hAnsi="Arial" w:cs="Arial"/>
        <w:b/>
        <w:sz w:val="22"/>
        <w:szCs w:val="22"/>
        <w:u w:val="single"/>
      </w:rPr>
    </w:pPr>
    <w:r w:rsidRPr="005023CC">
      <w:rPr>
        <w:rFonts w:ascii="Arial" w:hAnsi="Arial" w:cs="Arial"/>
        <w:b/>
        <w:sz w:val="22"/>
        <w:szCs w:val="22"/>
        <w:u w:val="single"/>
      </w:rPr>
      <w:t xml:space="preserve">Government response to the Health, Communities, Disability Services and Domestic and Family Violence Prevention Committee: Report No. 12, October 2018 – </w:t>
    </w:r>
    <w:r w:rsidRPr="00F51CE4">
      <w:rPr>
        <w:rFonts w:ascii="Arial" w:hAnsi="Arial" w:cs="Arial"/>
        <w:b/>
        <w:i/>
        <w:sz w:val="22"/>
        <w:szCs w:val="22"/>
        <w:u w:val="single"/>
      </w:rPr>
      <w:t>Inquiry into the establishment of a pharmacy council and transfer of pharmacy ownership in Queensland</w:t>
    </w:r>
  </w:p>
  <w:p w14:paraId="1A94E88E" w14:textId="5ED11613" w:rsidR="00D07A9F" w:rsidRDefault="005023CC" w:rsidP="00FB13FD">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14:paraId="7BC1BAF2" w14:textId="77777777" w:rsidR="00D07A9F" w:rsidRPr="003E3AAE" w:rsidRDefault="00D07A9F" w:rsidP="00FB13FD">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C1D6D2A"/>
    <w:multiLevelType w:val="hybridMultilevel"/>
    <w:tmpl w:val="6A94382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144AE2"/>
    <w:multiLevelType w:val="hybridMultilevel"/>
    <w:tmpl w:val="FCD2CCB6"/>
    <w:lvl w:ilvl="0" w:tplc="1F78B686">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FBA5088"/>
    <w:multiLevelType w:val="hybridMultilevel"/>
    <w:tmpl w:val="6B6C8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B558C9"/>
    <w:multiLevelType w:val="hybridMultilevel"/>
    <w:tmpl w:val="B0623D0A"/>
    <w:lvl w:ilvl="0" w:tplc="AE6ACDD8">
      <w:start w:val="1"/>
      <w:numFmt w:val="decimal"/>
      <w:lvlText w:val="%1."/>
      <w:lvlJc w:val="left"/>
      <w:pPr>
        <w:tabs>
          <w:tab w:val="num" w:pos="709"/>
        </w:tabs>
        <w:ind w:left="709" w:hanging="567"/>
      </w:pPr>
      <w:rPr>
        <w:rFonts w:cs="Times New Roman" w:hint="default"/>
        <w:b w:val="0"/>
      </w:r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F6727"/>
    <w:multiLevelType w:val="hybridMultilevel"/>
    <w:tmpl w:val="0CB281E4"/>
    <w:lvl w:ilvl="0" w:tplc="73DAF6C6">
      <w:start w:val="1"/>
      <w:numFmt w:val="bullet"/>
      <w:lvlText w:val=""/>
      <w:lvlJc w:val="left"/>
      <w:pPr>
        <w:ind w:left="720" w:hanging="360"/>
      </w:pPr>
      <w:rPr>
        <w:rFonts w:ascii="Symbol" w:hAnsi="Symbol" w:hint="default"/>
      </w:rPr>
    </w:lvl>
    <w:lvl w:ilvl="1" w:tplc="B53A1998">
      <w:start w:val="1"/>
      <w:numFmt w:val="bullet"/>
      <w:lvlText w:val="o"/>
      <w:lvlJc w:val="left"/>
      <w:pPr>
        <w:ind w:left="1440" w:hanging="360"/>
      </w:pPr>
      <w:rPr>
        <w:rFonts w:ascii="Courier New" w:hAnsi="Courier New" w:hint="default"/>
      </w:rPr>
    </w:lvl>
    <w:lvl w:ilvl="2" w:tplc="44A28F62">
      <w:start w:val="1"/>
      <w:numFmt w:val="bullet"/>
      <w:lvlText w:val=""/>
      <w:lvlJc w:val="left"/>
      <w:pPr>
        <w:ind w:left="2160" w:hanging="360"/>
      </w:pPr>
      <w:rPr>
        <w:rFonts w:ascii="Wingdings" w:hAnsi="Wingdings" w:hint="default"/>
      </w:rPr>
    </w:lvl>
    <w:lvl w:ilvl="3" w:tplc="483A356E">
      <w:start w:val="1"/>
      <w:numFmt w:val="bullet"/>
      <w:lvlText w:val=""/>
      <w:lvlJc w:val="left"/>
      <w:pPr>
        <w:ind w:left="2880" w:hanging="360"/>
      </w:pPr>
      <w:rPr>
        <w:rFonts w:ascii="Symbol" w:hAnsi="Symbol" w:hint="default"/>
      </w:rPr>
    </w:lvl>
    <w:lvl w:ilvl="4" w:tplc="09A08136">
      <w:start w:val="1"/>
      <w:numFmt w:val="bullet"/>
      <w:lvlText w:val="o"/>
      <w:lvlJc w:val="left"/>
      <w:pPr>
        <w:ind w:left="3600" w:hanging="360"/>
      </w:pPr>
      <w:rPr>
        <w:rFonts w:ascii="Courier New" w:hAnsi="Courier New" w:hint="default"/>
      </w:rPr>
    </w:lvl>
    <w:lvl w:ilvl="5" w:tplc="546E8298">
      <w:start w:val="1"/>
      <w:numFmt w:val="bullet"/>
      <w:lvlText w:val=""/>
      <w:lvlJc w:val="left"/>
      <w:pPr>
        <w:ind w:left="4320" w:hanging="360"/>
      </w:pPr>
      <w:rPr>
        <w:rFonts w:ascii="Wingdings" w:hAnsi="Wingdings" w:hint="default"/>
      </w:rPr>
    </w:lvl>
    <w:lvl w:ilvl="6" w:tplc="A4CEF978">
      <w:start w:val="1"/>
      <w:numFmt w:val="bullet"/>
      <w:lvlText w:val=""/>
      <w:lvlJc w:val="left"/>
      <w:pPr>
        <w:ind w:left="5040" w:hanging="360"/>
      </w:pPr>
      <w:rPr>
        <w:rFonts w:ascii="Symbol" w:hAnsi="Symbol" w:hint="default"/>
      </w:rPr>
    </w:lvl>
    <w:lvl w:ilvl="7" w:tplc="F9608FDE">
      <w:start w:val="1"/>
      <w:numFmt w:val="bullet"/>
      <w:lvlText w:val="o"/>
      <w:lvlJc w:val="left"/>
      <w:pPr>
        <w:ind w:left="5760" w:hanging="360"/>
      </w:pPr>
      <w:rPr>
        <w:rFonts w:ascii="Courier New" w:hAnsi="Courier New" w:hint="default"/>
      </w:rPr>
    </w:lvl>
    <w:lvl w:ilvl="8" w:tplc="9C6437DC">
      <w:start w:val="1"/>
      <w:numFmt w:val="bullet"/>
      <w:lvlText w:val=""/>
      <w:lvlJc w:val="left"/>
      <w:pPr>
        <w:ind w:left="6480" w:hanging="360"/>
      </w:pPr>
      <w:rPr>
        <w:rFonts w:ascii="Wingdings" w:hAnsi="Wingdings" w:hint="default"/>
      </w:rPr>
    </w:lvl>
  </w:abstractNum>
  <w:abstractNum w:abstractNumId="13"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495909"/>
    <w:multiLevelType w:val="hybridMultilevel"/>
    <w:tmpl w:val="CD44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98831DD"/>
    <w:multiLevelType w:val="hybridMultilevel"/>
    <w:tmpl w:val="3A2AEDEA"/>
    <w:lvl w:ilvl="0" w:tplc="A05A3B5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AA44AD0"/>
    <w:multiLevelType w:val="hybridMultilevel"/>
    <w:tmpl w:val="84903214"/>
    <w:lvl w:ilvl="0" w:tplc="0C090001">
      <w:start w:val="1"/>
      <w:numFmt w:val="bullet"/>
      <w:lvlText w:val=""/>
      <w:lvlJc w:val="left"/>
      <w:pPr>
        <w:tabs>
          <w:tab w:val="num" w:pos="1276"/>
        </w:tabs>
        <w:ind w:left="1276" w:hanging="567"/>
      </w:pPr>
      <w:rPr>
        <w:rFonts w:ascii="Symbol" w:hAnsi="Symbol" w:hint="default"/>
        <w:b w:val="0"/>
      </w:rPr>
    </w:lvl>
    <w:lvl w:ilvl="1" w:tplc="0C090019" w:tentative="1">
      <w:start w:val="1"/>
      <w:numFmt w:val="lowerLetter"/>
      <w:lvlText w:val="%2."/>
      <w:lvlJc w:val="left"/>
      <w:pPr>
        <w:tabs>
          <w:tab w:val="num" w:pos="2007"/>
        </w:tabs>
        <w:ind w:left="2007" w:hanging="360"/>
      </w:pPr>
      <w:rPr>
        <w:rFonts w:cs="Times New Roman"/>
      </w:rPr>
    </w:lvl>
    <w:lvl w:ilvl="2" w:tplc="0C09001B" w:tentative="1">
      <w:start w:val="1"/>
      <w:numFmt w:val="lowerRoman"/>
      <w:lvlText w:val="%3."/>
      <w:lvlJc w:val="right"/>
      <w:pPr>
        <w:tabs>
          <w:tab w:val="num" w:pos="2727"/>
        </w:tabs>
        <w:ind w:left="2727" w:hanging="180"/>
      </w:pPr>
      <w:rPr>
        <w:rFonts w:cs="Times New Roman"/>
      </w:rPr>
    </w:lvl>
    <w:lvl w:ilvl="3" w:tplc="0C09000F" w:tentative="1">
      <w:start w:val="1"/>
      <w:numFmt w:val="decimal"/>
      <w:lvlText w:val="%4."/>
      <w:lvlJc w:val="left"/>
      <w:pPr>
        <w:tabs>
          <w:tab w:val="num" w:pos="3447"/>
        </w:tabs>
        <w:ind w:left="3447" w:hanging="360"/>
      </w:pPr>
      <w:rPr>
        <w:rFonts w:cs="Times New Roman"/>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20" w15:restartNumberingAfterBreak="0">
    <w:nsid w:val="516B3885"/>
    <w:multiLevelType w:val="hybridMultilevel"/>
    <w:tmpl w:val="06AAEAE8"/>
    <w:lvl w:ilvl="0" w:tplc="AE6ACDD8">
      <w:start w:val="1"/>
      <w:numFmt w:val="decimal"/>
      <w:lvlText w:val="%1."/>
      <w:lvlJc w:val="left"/>
      <w:pPr>
        <w:tabs>
          <w:tab w:val="num" w:pos="709"/>
        </w:tabs>
        <w:ind w:left="709" w:hanging="567"/>
      </w:pPr>
      <w:rPr>
        <w:rFonts w:cs="Times New Roman" w:hint="default"/>
        <w:b w:val="0"/>
      </w:rPr>
    </w:lvl>
    <w:lvl w:ilvl="1" w:tplc="0C09001B">
      <w:start w:val="1"/>
      <w:numFmt w:val="low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130200"/>
    <w:multiLevelType w:val="hybridMultilevel"/>
    <w:tmpl w:val="46DCE14E"/>
    <w:lvl w:ilvl="0" w:tplc="AE6ACDD8">
      <w:start w:val="1"/>
      <w:numFmt w:val="decimal"/>
      <w:lvlText w:val="%1."/>
      <w:lvlJc w:val="left"/>
      <w:pPr>
        <w:tabs>
          <w:tab w:val="num" w:pos="709"/>
        </w:tabs>
        <w:ind w:left="709" w:hanging="567"/>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4"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1956F63"/>
    <w:multiLevelType w:val="hybridMultilevel"/>
    <w:tmpl w:val="6DACC122"/>
    <w:lvl w:ilvl="0" w:tplc="AE6ACDD8">
      <w:start w:val="1"/>
      <w:numFmt w:val="decimal"/>
      <w:lvlText w:val="%1."/>
      <w:lvlJc w:val="left"/>
      <w:pPr>
        <w:tabs>
          <w:tab w:val="num" w:pos="709"/>
        </w:tabs>
        <w:ind w:left="709" w:hanging="567"/>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0B5838"/>
    <w:multiLevelType w:val="hybridMultilevel"/>
    <w:tmpl w:val="3D30B14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4EF48C5"/>
    <w:multiLevelType w:val="hybridMultilevel"/>
    <w:tmpl w:val="DBD28568"/>
    <w:lvl w:ilvl="0" w:tplc="AE6ACDD8">
      <w:start w:val="1"/>
      <w:numFmt w:val="decimal"/>
      <w:lvlText w:val="%1."/>
      <w:lvlJc w:val="left"/>
      <w:pPr>
        <w:tabs>
          <w:tab w:val="num" w:pos="709"/>
        </w:tabs>
        <w:ind w:left="709" w:hanging="567"/>
      </w:pPr>
      <w:rPr>
        <w:rFonts w:cs="Times New Roman" w:hint="default"/>
        <w:b w:val="0"/>
      </w:rPr>
    </w:lvl>
    <w:lvl w:ilvl="1" w:tplc="0C090013">
      <w:start w:val="1"/>
      <w:numFmt w:val="upperRoman"/>
      <w:lvlText w:val="%2."/>
      <w:lvlJc w:val="right"/>
      <w:pPr>
        <w:tabs>
          <w:tab w:val="num" w:pos="1440"/>
        </w:tabs>
        <w:ind w:left="1440" w:hanging="360"/>
      </w:p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3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D65FE1"/>
    <w:multiLevelType w:val="hybridMultilevel"/>
    <w:tmpl w:val="EBFE010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32"/>
  </w:num>
  <w:num w:numId="5">
    <w:abstractNumId w:val="23"/>
  </w:num>
  <w:num w:numId="6">
    <w:abstractNumId w:val="3"/>
  </w:num>
  <w:num w:numId="7">
    <w:abstractNumId w:val="17"/>
  </w:num>
  <w:num w:numId="8">
    <w:abstractNumId w:val="1"/>
  </w:num>
  <w:num w:numId="9">
    <w:abstractNumId w:val="14"/>
  </w:num>
  <w:num w:numId="10">
    <w:abstractNumId w:val="2"/>
  </w:num>
  <w:num w:numId="11">
    <w:abstractNumId w:val="11"/>
  </w:num>
  <w:num w:numId="12">
    <w:abstractNumId w:val="13"/>
  </w:num>
  <w:num w:numId="13">
    <w:abstractNumId w:val="24"/>
  </w:num>
  <w:num w:numId="14">
    <w:abstractNumId w:val="31"/>
  </w:num>
  <w:num w:numId="15">
    <w:abstractNumId w:val="7"/>
  </w:num>
  <w:num w:numId="16">
    <w:abstractNumId w:val="6"/>
  </w:num>
  <w:num w:numId="17">
    <w:abstractNumId w:val="22"/>
  </w:num>
  <w:num w:numId="18">
    <w:abstractNumId w:val="28"/>
  </w:num>
  <w:num w:numId="19">
    <w:abstractNumId w:val="30"/>
  </w:num>
  <w:num w:numId="20">
    <w:abstractNumId w:val="15"/>
  </w:num>
  <w:num w:numId="21">
    <w:abstractNumId w:val="35"/>
  </w:num>
  <w:num w:numId="22">
    <w:abstractNumId w:val="33"/>
  </w:num>
  <w:num w:numId="23">
    <w:abstractNumId w:val="8"/>
  </w:num>
  <w:num w:numId="24">
    <w:abstractNumId w:val="21"/>
  </w:num>
  <w:num w:numId="25">
    <w:abstractNumId w:val="27"/>
  </w:num>
  <w:num w:numId="26">
    <w:abstractNumId w:val="5"/>
  </w:num>
  <w:num w:numId="27">
    <w:abstractNumId w:val="18"/>
  </w:num>
  <w:num w:numId="28">
    <w:abstractNumId w:val="16"/>
  </w:num>
  <w:num w:numId="29">
    <w:abstractNumId w:val="4"/>
  </w:num>
  <w:num w:numId="30">
    <w:abstractNumId w:val="19"/>
  </w:num>
  <w:num w:numId="31">
    <w:abstractNumId w:val="25"/>
  </w:num>
  <w:num w:numId="32">
    <w:abstractNumId w:val="10"/>
  </w:num>
  <w:num w:numId="33">
    <w:abstractNumId w:val="29"/>
  </w:num>
  <w:num w:numId="34">
    <w:abstractNumId w:val="20"/>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23"/>
    <w:rsid w:val="00021188"/>
    <w:rsid w:val="00027113"/>
    <w:rsid w:val="000400F9"/>
    <w:rsid w:val="00041A0F"/>
    <w:rsid w:val="000430DD"/>
    <w:rsid w:val="00043E92"/>
    <w:rsid w:val="00046960"/>
    <w:rsid w:val="00050012"/>
    <w:rsid w:val="000526D3"/>
    <w:rsid w:val="00066D93"/>
    <w:rsid w:val="00070A40"/>
    <w:rsid w:val="00071F20"/>
    <w:rsid w:val="00080B30"/>
    <w:rsid w:val="000924FD"/>
    <w:rsid w:val="00094CE6"/>
    <w:rsid w:val="0009634A"/>
    <w:rsid w:val="000A1D7D"/>
    <w:rsid w:val="000A2BAC"/>
    <w:rsid w:val="000A6E5D"/>
    <w:rsid w:val="000B0631"/>
    <w:rsid w:val="000C15F5"/>
    <w:rsid w:val="000C2437"/>
    <w:rsid w:val="000C7639"/>
    <w:rsid w:val="000D05D6"/>
    <w:rsid w:val="000D73B0"/>
    <w:rsid w:val="000D7BA6"/>
    <w:rsid w:val="000E02EC"/>
    <w:rsid w:val="000E1CF7"/>
    <w:rsid w:val="000E3F6A"/>
    <w:rsid w:val="000E65AF"/>
    <w:rsid w:val="000F0DB5"/>
    <w:rsid w:val="000F21F9"/>
    <w:rsid w:val="000F680A"/>
    <w:rsid w:val="001010F3"/>
    <w:rsid w:val="001057EC"/>
    <w:rsid w:val="001106CA"/>
    <w:rsid w:val="0011206D"/>
    <w:rsid w:val="001141E1"/>
    <w:rsid w:val="001227DD"/>
    <w:rsid w:val="00123E0E"/>
    <w:rsid w:val="00124FE2"/>
    <w:rsid w:val="00126CC9"/>
    <w:rsid w:val="00127443"/>
    <w:rsid w:val="0013534E"/>
    <w:rsid w:val="00135D6D"/>
    <w:rsid w:val="001376CE"/>
    <w:rsid w:val="00140936"/>
    <w:rsid w:val="00140DA4"/>
    <w:rsid w:val="00144370"/>
    <w:rsid w:val="00144862"/>
    <w:rsid w:val="0014649D"/>
    <w:rsid w:val="0015685D"/>
    <w:rsid w:val="00156C19"/>
    <w:rsid w:val="0016168A"/>
    <w:rsid w:val="001622E3"/>
    <w:rsid w:val="0016461A"/>
    <w:rsid w:val="00170A1A"/>
    <w:rsid w:val="001718E2"/>
    <w:rsid w:val="0017740C"/>
    <w:rsid w:val="0017782F"/>
    <w:rsid w:val="00182E54"/>
    <w:rsid w:val="00190C8E"/>
    <w:rsid w:val="00191AD1"/>
    <w:rsid w:val="001942EC"/>
    <w:rsid w:val="00194E9B"/>
    <w:rsid w:val="0019526C"/>
    <w:rsid w:val="00197092"/>
    <w:rsid w:val="001B1A16"/>
    <w:rsid w:val="001B5837"/>
    <w:rsid w:val="001C350C"/>
    <w:rsid w:val="001C4EB1"/>
    <w:rsid w:val="001C6E3C"/>
    <w:rsid w:val="001D5A2D"/>
    <w:rsid w:val="001D5F1F"/>
    <w:rsid w:val="001E0782"/>
    <w:rsid w:val="001E209B"/>
    <w:rsid w:val="001E2A3F"/>
    <w:rsid w:val="001E5583"/>
    <w:rsid w:val="001E6C9A"/>
    <w:rsid w:val="001F1E4D"/>
    <w:rsid w:val="001F3BCD"/>
    <w:rsid w:val="001F66BD"/>
    <w:rsid w:val="002045FD"/>
    <w:rsid w:val="002076A3"/>
    <w:rsid w:val="0021344B"/>
    <w:rsid w:val="00216296"/>
    <w:rsid w:val="002266A8"/>
    <w:rsid w:val="00227D1E"/>
    <w:rsid w:val="002348A8"/>
    <w:rsid w:val="00240160"/>
    <w:rsid w:val="00242B09"/>
    <w:rsid w:val="00257252"/>
    <w:rsid w:val="002730BD"/>
    <w:rsid w:val="00273B58"/>
    <w:rsid w:val="00280CB5"/>
    <w:rsid w:val="0028218C"/>
    <w:rsid w:val="00286B02"/>
    <w:rsid w:val="002912CB"/>
    <w:rsid w:val="00294F96"/>
    <w:rsid w:val="002971C2"/>
    <w:rsid w:val="002A4B27"/>
    <w:rsid w:val="002A6FC7"/>
    <w:rsid w:val="002B5574"/>
    <w:rsid w:val="002B6A00"/>
    <w:rsid w:val="002C07C8"/>
    <w:rsid w:val="002C183E"/>
    <w:rsid w:val="002C29EC"/>
    <w:rsid w:val="002C47CC"/>
    <w:rsid w:val="002C7B41"/>
    <w:rsid w:val="002D5B82"/>
    <w:rsid w:val="002E0B88"/>
    <w:rsid w:val="002E58D6"/>
    <w:rsid w:val="002E5AA0"/>
    <w:rsid w:val="002E7435"/>
    <w:rsid w:val="002F7590"/>
    <w:rsid w:val="003024B9"/>
    <w:rsid w:val="003041B8"/>
    <w:rsid w:val="0031208A"/>
    <w:rsid w:val="0031299B"/>
    <w:rsid w:val="0032140C"/>
    <w:rsid w:val="003243E0"/>
    <w:rsid w:val="0032701D"/>
    <w:rsid w:val="00330878"/>
    <w:rsid w:val="0033391A"/>
    <w:rsid w:val="00340A4D"/>
    <w:rsid w:val="00340EF2"/>
    <w:rsid w:val="003500EF"/>
    <w:rsid w:val="00355608"/>
    <w:rsid w:val="003651B5"/>
    <w:rsid w:val="00366790"/>
    <w:rsid w:val="003737C1"/>
    <w:rsid w:val="00374887"/>
    <w:rsid w:val="00390228"/>
    <w:rsid w:val="0039038C"/>
    <w:rsid w:val="00391750"/>
    <w:rsid w:val="003927E5"/>
    <w:rsid w:val="00394324"/>
    <w:rsid w:val="003A318A"/>
    <w:rsid w:val="003A4AA8"/>
    <w:rsid w:val="003B5871"/>
    <w:rsid w:val="003C5050"/>
    <w:rsid w:val="003C71CD"/>
    <w:rsid w:val="003D2408"/>
    <w:rsid w:val="003D5463"/>
    <w:rsid w:val="003D718A"/>
    <w:rsid w:val="003E2D89"/>
    <w:rsid w:val="003F5638"/>
    <w:rsid w:val="00403168"/>
    <w:rsid w:val="00403973"/>
    <w:rsid w:val="00412A34"/>
    <w:rsid w:val="004149B9"/>
    <w:rsid w:val="00426D0F"/>
    <w:rsid w:val="0043567A"/>
    <w:rsid w:val="00436B4D"/>
    <w:rsid w:val="0044424E"/>
    <w:rsid w:val="00444DCF"/>
    <w:rsid w:val="004605B5"/>
    <w:rsid w:val="00464036"/>
    <w:rsid w:val="004657C5"/>
    <w:rsid w:val="00476361"/>
    <w:rsid w:val="00476954"/>
    <w:rsid w:val="00476A64"/>
    <w:rsid w:val="0049456E"/>
    <w:rsid w:val="004A19E3"/>
    <w:rsid w:val="004B0D6E"/>
    <w:rsid w:val="004B4AD7"/>
    <w:rsid w:val="004B6BEE"/>
    <w:rsid w:val="004B751F"/>
    <w:rsid w:val="004C5933"/>
    <w:rsid w:val="004C65A5"/>
    <w:rsid w:val="004C6EE9"/>
    <w:rsid w:val="004D201D"/>
    <w:rsid w:val="004D4452"/>
    <w:rsid w:val="004D68B8"/>
    <w:rsid w:val="004D7050"/>
    <w:rsid w:val="004E3AE1"/>
    <w:rsid w:val="004E3BC5"/>
    <w:rsid w:val="004E434F"/>
    <w:rsid w:val="004E501D"/>
    <w:rsid w:val="004E755A"/>
    <w:rsid w:val="004F0CB6"/>
    <w:rsid w:val="005023CC"/>
    <w:rsid w:val="0050683F"/>
    <w:rsid w:val="00520115"/>
    <w:rsid w:val="0052050A"/>
    <w:rsid w:val="00525156"/>
    <w:rsid w:val="00527730"/>
    <w:rsid w:val="005317AC"/>
    <w:rsid w:val="00536A35"/>
    <w:rsid w:val="005425AB"/>
    <w:rsid w:val="00552CCD"/>
    <w:rsid w:val="005577AB"/>
    <w:rsid w:val="00583FC7"/>
    <w:rsid w:val="00592BD7"/>
    <w:rsid w:val="005B305F"/>
    <w:rsid w:val="005B35B9"/>
    <w:rsid w:val="005B45AE"/>
    <w:rsid w:val="005B5372"/>
    <w:rsid w:val="005C7018"/>
    <w:rsid w:val="005D5BB9"/>
    <w:rsid w:val="005E428B"/>
    <w:rsid w:val="005E58CD"/>
    <w:rsid w:val="005E7616"/>
    <w:rsid w:val="005E7C61"/>
    <w:rsid w:val="0062128A"/>
    <w:rsid w:val="006260DF"/>
    <w:rsid w:val="00626FEF"/>
    <w:rsid w:val="00635DE2"/>
    <w:rsid w:val="00635F40"/>
    <w:rsid w:val="00637182"/>
    <w:rsid w:val="0064268C"/>
    <w:rsid w:val="0065491A"/>
    <w:rsid w:val="00656393"/>
    <w:rsid w:val="0066340C"/>
    <w:rsid w:val="0066421E"/>
    <w:rsid w:val="00667828"/>
    <w:rsid w:val="0067667D"/>
    <w:rsid w:val="00695342"/>
    <w:rsid w:val="006A1504"/>
    <w:rsid w:val="006B08C4"/>
    <w:rsid w:val="006C130B"/>
    <w:rsid w:val="006E25A6"/>
    <w:rsid w:val="006E603F"/>
    <w:rsid w:val="006F4423"/>
    <w:rsid w:val="006F7B5F"/>
    <w:rsid w:val="007050E6"/>
    <w:rsid w:val="00713FDC"/>
    <w:rsid w:val="00716FBF"/>
    <w:rsid w:val="00723DB3"/>
    <w:rsid w:val="00732E9E"/>
    <w:rsid w:val="0073443B"/>
    <w:rsid w:val="0073456F"/>
    <w:rsid w:val="007346D4"/>
    <w:rsid w:val="00742804"/>
    <w:rsid w:val="00744153"/>
    <w:rsid w:val="00745F4C"/>
    <w:rsid w:val="00761EEB"/>
    <w:rsid w:val="007653EB"/>
    <w:rsid w:val="007713EB"/>
    <w:rsid w:val="00782539"/>
    <w:rsid w:val="007842D8"/>
    <w:rsid w:val="0079498D"/>
    <w:rsid w:val="00795162"/>
    <w:rsid w:val="007B178B"/>
    <w:rsid w:val="007B6771"/>
    <w:rsid w:val="007C5B4B"/>
    <w:rsid w:val="007C6505"/>
    <w:rsid w:val="007D0507"/>
    <w:rsid w:val="007D4F98"/>
    <w:rsid w:val="007D5103"/>
    <w:rsid w:val="007D5192"/>
    <w:rsid w:val="007F2EBE"/>
    <w:rsid w:val="007F46E4"/>
    <w:rsid w:val="007F5F10"/>
    <w:rsid w:val="007F7D0A"/>
    <w:rsid w:val="00800574"/>
    <w:rsid w:val="00816846"/>
    <w:rsid w:val="00825726"/>
    <w:rsid w:val="00826FFC"/>
    <w:rsid w:val="00827746"/>
    <w:rsid w:val="00832489"/>
    <w:rsid w:val="00834946"/>
    <w:rsid w:val="00842FBD"/>
    <w:rsid w:val="00860DB0"/>
    <w:rsid w:val="00862C15"/>
    <w:rsid w:val="00864BC7"/>
    <w:rsid w:val="00867427"/>
    <w:rsid w:val="00870321"/>
    <w:rsid w:val="00890BFF"/>
    <w:rsid w:val="008A3F6F"/>
    <w:rsid w:val="008A4523"/>
    <w:rsid w:val="008C5471"/>
    <w:rsid w:val="008C56E1"/>
    <w:rsid w:val="008D6BC7"/>
    <w:rsid w:val="008E11D4"/>
    <w:rsid w:val="008E421C"/>
    <w:rsid w:val="008F44CD"/>
    <w:rsid w:val="008F6703"/>
    <w:rsid w:val="008F7F35"/>
    <w:rsid w:val="0090137E"/>
    <w:rsid w:val="0090282F"/>
    <w:rsid w:val="00903510"/>
    <w:rsid w:val="00910375"/>
    <w:rsid w:val="00911F6B"/>
    <w:rsid w:val="00913CB9"/>
    <w:rsid w:val="009175A7"/>
    <w:rsid w:val="009244FB"/>
    <w:rsid w:val="00930537"/>
    <w:rsid w:val="00932FA5"/>
    <w:rsid w:val="009342A1"/>
    <w:rsid w:val="00934403"/>
    <w:rsid w:val="0094685D"/>
    <w:rsid w:val="0095036A"/>
    <w:rsid w:val="009519BB"/>
    <w:rsid w:val="009551A2"/>
    <w:rsid w:val="00955E7A"/>
    <w:rsid w:val="009566B7"/>
    <w:rsid w:val="0096001A"/>
    <w:rsid w:val="009613BE"/>
    <w:rsid w:val="00964A2F"/>
    <w:rsid w:val="009653D1"/>
    <w:rsid w:val="00972A0E"/>
    <w:rsid w:val="00975DD0"/>
    <w:rsid w:val="009A3B69"/>
    <w:rsid w:val="009B7F10"/>
    <w:rsid w:val="009C3372"/>
    <w:rsid w:val="009D0A62"/>
    <w:rsid w:val="009D3131"/>
    <w:rsid w:val="009E1AD3"/>
    <w:rsid w:val="009E4DC1"/>
    <w:rsid w:val="009F2363"/>
    <w:rsid w:val="009F2656"/>
    <w:rsid w:val="009F4298"/>
    <w:rsid w:val="009F5F9B"/>
    <w:rsid w:val="00A04E6E"/>
    <w:rsid w:val="00A1274B"/>
    <w:rsid w:val="00A131BD"/>
    <w:rsid w:val="00A159BA"/>
    <w:rsid w:val="00A17ED0"/>
    <w:rsid w:val="00A369DE"/>
    <w:rsid w:val="00A41443"/>
    <w:rsid w:val="00A45816"/>
    <w:rsid w:val="00A527A5"/>
    <w:rsid w:val="00A53831"/>
    <w:rsid w:val="00A67675"/>
    <w:rsid w:val="00A70444"/>
    <w:rsid w:val="00A74B5E"/>
    <w:rsid w:val="00A75633"/>
    <w:rsid w:val="00A8314F"/>
    <w:rsid w:val="00A834E4"/>
    <w:rsid w:val="00A91069"/>
    <w:rsid w:val="00A963DE"/>
    <w:rsid w:val="00AA62F2"/>
    <w:rsid w:val="00AB5421"/>
    <w:rsid w:val="00AB6F21"/>
    <w:rsid w:val="00AB794F"/>
    <w:rsid w:val="00AD6552"/>
    <w:rsid w:val="00AE41D1"/>
    <w:rsid w:val="00AF610D"/>
    <w:rsid w:val="00B0525E"/>
    <w:rsid w:val="00B2374C"/>
    <w:rsid w:val="00B23FE9"/>
    <w:rsid w:val="00B24A3A"/>
    <w:rsid w:val="00B35060"/>
    <w:rsid w:val="00B377F3"/>
    <w:rsid w:val="00B54970"/>
    <w:rsid w:val="00B605B9"/>
    <w:rsid w:val="00B60F74"/>
    <w:rsid w:val="00B73CA4"/>
    <w:rsid w:val="00B80C6C"/>
    <w:rsid w:val="00B82ADC"/>
    <w:rsid w:val="00B85627"/>
    <w:rsid w:val="00B861ED"/>
    <w:rsid w:val="00B938D7"/>
    <w:rsid w:val="00B958E7"/>
    <w:rsid w:val="00B97FB4"/>
    <w:rsid w:val="00BA3A7F"/>
    <w:rsid w:val="00BA70E9"/>
    <w:rsid w:val="00BB0A1D"/>
    <w:rsid w:val="00BB1AFC"/>
    <w:rsid w:val="00BB5314"/>
    <w:rsid w:val="00BC21AA"/>
    <w:rsid w:val="00BC4831"/>
    <w:rsid w:val="00BC7E93"/>
    <w:rsid w:val="00BD3C63"/>
    <w:rsid w:val="00BD4254"/>
    <w:rsid w:val="00BD5C1A"/>
    <w:rsid w:val="00BD7357"/>
    <w:rsid w:val="00BD7E0D"/>
    <w:rsid w:val="00BE1E29"/>
    <w:rsid w:val="00BE346E"/>
    <w:rsid w:val="00BE5B84"/>
    <w:rsid w:val="00BE6F67"/>
    <w:rsid w:val="00BF35DF"/>
    <w:rsid w:val="00BF46CA"/>
    <w:rsid w:val="00C0535B"/>
    <w:rsid w:val="00C06026"/>
    <w:rsid w:val="00C06F00"/>
    <w:rsid w:val="00C07656"/>
    <w:rsid w:val="00C14FB2"/>
    <w:rsid w:val="00C16E01"/>
    <w:rsid w:val="00C17E3B"/>
    <w:rsid w:val="00C30A86"/>
    <w:rsid w:val="00C31326"/>
    <w:rsid w:val="00C40677"/>
    <w:rsid w:val="00C43780"/>
    <w:rsid w:val="00C44A05"/>
    <w:rsid w:val="00C51F18"/>
    <w:rsid w:val="00C554A7"/>
    <w:rsid w:val="00C6270B"/>
    <w:rsid w:val="00C62E9C"/>
    <w:rsid w:val="00C74852"/>
    <w:rsid w:val="00C81B1B"/>
    <w:rsid w:val="00C84211"/>
    <w:rsid w:val="00C91283"/>
    <w:rsid w:val="00CA124D"/>
    <w:rsid w:val="00CA355F"/>
    <w:rsid w:val="00CA3EEB"/>
    <w:rsid w:val="00CA772D"/>
    <w:rsid w:val="00CB3CF8"/>
    <w:rsid w:val="00CB44E7"/>
    <w:rsid w:val="00CC00C4"/>
    <w:rsid w:val="00CC0A18"/>
    <w:rsid w:val="00CC2631"/>
    <w:rsid w:val="00CC561D"/>
    <w:rsid w:val="00CC63BB"/>
    <w:rsid w:val="00CD2E02"/>
    <w:rsid w:val="00CD4BCF"/>
    <w:rsid w:val="00CD5139"/>
    <w:rsid w:val="00CE6FBA"/>
    <w:rsid w:val="00CE7AEC"/>
    <w:rsid w:val="00CF16CB"/>
    <w:rsid w:val="00CF2BC8"/>
    <w:rsid w:val="00CF39D3"/>
    <w:rsid w:val="00CF5259"/>
    <w:rsid w:val="00D07A9F"/>
    <w:rsid w:val="00D26D87"/>
    <w:rsid w:val="00D351E6"/>
    <w:rsid w:val="00D5111A"/>
    <w:rsid w:val="00D616D5"/>
    <w:rsid w:val="00D6489A"/>
    <w:rsid w:val="00D67E57"/>
    <w:rsid w:val="00D71185"/>
    <w:rsid w:val="00D740A8"/>
    <w:rsid w:val="00D75121"/>
    <w:rsid w:val="00D75134"/>
    <w:rsid w:val="00D82051"/>
    <w:rsid w:val="00D84B5E"/>
    <w:rsid w:val="00D9085F"/>
    <w:rsid w:val="00D91EA6"/>
    <w:rsid w:val="00D96412"/>
    <w:rsid w:val="00DA4B5C"/>
    <w:rsid w:val="00DA4D47"/>
    <w:rsid w:val="00DA6C5D"/>
    <w:rsid w:val="00DB1B46"/>
    <w:rsid w:val="00DB6FE7"/>
    <w:rsid w:val="00DC0A5F"/>
    <w:rsid w:val="00DD06E1"/>
    <w:rsid w:val="00DD1780"/>
    <w:rsid w:val="00DD2916"/>
    <w:rsid w:val="00DD6BA7"/>
    <w:rsid w:val="00DE2A72"/>
    <w:rsid w:val="00DE497F"/>
    <w:rsid w:val="00DE61EC"/>
    <w:rsid w:val="00DE73D5"/>
    <w:rsid w:val="00DF08D6"/>
    <w:rsid w:val="00DF2E2C"/>
    <w:rsid w:val="00DF36FE"/>
    <w:rsid w:val="00DF69A7"/>
    <w:rsid w:val="00E06DFB"/>
    <w:rsid w:val="00E11CCA"/>
    <w:rsid w:val="00E129B6"/>
    <w:rsid w:val="00E13702"/>
    <w:rsid w:val="00E21A9F"/>
    <w:rsid w:val="00E22EAD"/>
    <w:rsid w:val="00E317C3"/>
    <w:rsid w:val="00E34327"/>
    <w:rsid w:val="00E464DD"/>
    <w:rsid w:val="00E47F1D"/>
    <w:rsid w:val="00E5165A"/>
    <w:rsid w:val="00E539DE"/>
    <w:rsid w:val="00E64446"/>
    <w:rsid w:val="00E70399"/>
    <w:rsid w:val="00E814F1"/>
    <w:rsid w:val="00E82F8A"/>
    <w:rsid w:val="00E836BF"/>
    <w:rsid w:val="00E84E0F"/>
    <w:rsid w:val="00EB074A"/>
    <w:rsid w:val="00EC026F"/>
    <w:rsid w:val="00EC0396"/>
    <w:rsid w:val="00EC2AE8"/>
    <w:rsid w:val="00EC3D68"/>
    <w:rsid w:val="00EC789A"/>
    <w:rsid w:val="00ED29FB"/>
    <w:rsid w:val="00ED7DA6"/>
    <w:rsid w:val="00EE1F12"/>
    <w:rsid w:val="00EE20A7"/>
    <w:rsid w:val="00EE23E9"/>
    <w:rsid w:val="00EE25B4"/>
    <w:rsid w:val="00EF6F0B"/>
    <w:rsid w:val="00EF7CCF"/>
    <w:rsid w:val="00F023B9"/>
    <w:rsid w:val="00F031F4"/>
    <w:rsid w:val="00F04337"/>
    <w:rsid w:val="00F10DF9"/>
    <w:rsid w:val="00F111D1"/>
    <w:rsid w:val="00F17089"/>
    <w:rsid w:val="00F25554"/>
    <w:rsid w:val="00F25FA5"/>
    <w:rsid w:val="00F333F5"/>
    <w:rsid w:val="00F470A4"/>
    <w:rsid w:val="00F515D3"/>
    <w:rsid w:val="00F51CE4"/>
    <w:rsid w:val="00F561A5"/>
    <w:rsid w:val="00F679C1"/>
    <w:rsid w:val="00F702CB"/>
    <w:rsid w:val="00F822D6"/>
    <w:rsid w:val="00F84EFB"/>
    <w:rsid w:val="00F8742F"/>
    <w:rsid w:val="00F93C82"/>
    <w:rsid w:val="00F96D52"/>
    <w:rsid w:val="00FA33B7"/>
    <w:rsid w:val="00FB13FD"/>
    <w:rsid w:val="00FB34E3"/>
    <w:rsid w:val="00FB4C65"/>
    <w:rsid w:val="00FB6CE8"/>
    <w:rsid w:val="00FD28BA"/>
    <w:rsid w:val="00FE5918"/>
    <w:rsid w:val="34BCC65D"/>
    <w:rsid w:val="63E32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5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EB"/>
    <w:rPr>
      <w:color w:val="000000"/>
      <w:sz w:val="24"/>
      <w:szCs w:val="20"/>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basedOn w:val="DefaultParagraphFont"/>
    <w:link w:val="Header"/>
    <w:uiPriority w:val="99"/>
    <w:locked/>
    <w:rsid w:val="001010F3"/>
    <w:rPr>
      <w:rFonts w:cs="Times New Roman"/>
      <w:color w:val="000000"/>
      <w:sz w:val="20"/>
      <w:szCs w:val="20"/>
    </w:rPr>
  </w:style>
  <w:style w:type="character" w:styleId="PageNumber">
    <w:name w:val="page number"/>
    <w:basedOn w:val="DefaultParagraphFont"/>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basedOn w:val="DefaultParagraphFont"/>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basedOn w:val="DefaultParagraphFont"/>
    <w:link w:val="BodyText"/>
    <w:uiPriority w:val="99"/>
    <w:locked/>
    <w:rsid w:val="001010F3"/>
    <w:rPr>
      <w:rFonts w:cs="Times New Roman"/>
      <w:color w:val="000000"/>
      <w:sz w:val="20"/>
      <w:szCs w:val="20"/>
    </w:rPr>
  </w:style>
  <w:style w:type="table" w:styleId="TableGrid">
    <w:name w:val="Table Grid"/>
    <w:basedOn w:val="TableNormal"/>
    <w:uiPriority w:val="99"/>
    <w:rsid w:val="001568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basedOn w:val="DefaultParagraphFont"/>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basedOn w:val="CommentTextChar"/>
    <w:link w:val="CommentSubject"/>
    <w:uiPriority w:val="99"/>
    <w:semiHidden/>
    <w:locked/>
    <w:rsid w:val="001010F3"/>
    <w:rPr>
      <w:rFonts w:cs="Times New Roman"/>
      <w:b/>
      <w:bCs/>
      <w:color w:val="000000"/>
      <w:sz w:val="20"/>
      <w:szCs w:val="20"/>
    </w:rPr>
  </w:style>
  <w:style w:type="character" w:styleId="Hyperlink">
    <w:name w:val="Hyperlink"/>
    <w:basedOn w:val="DefaultParagraphFont"/>
    <w:uiPriority w:val="99"/>
    <w:rsid w:val="00227D1E"/>
    <w:rPr>
      <w:rFonts w:ascii="Times New Roman" w:hAnsi="Times New Roman" w:cs="Times New Roman"/>
      <w:color w:val="0000FF"/>
      <w:u w:val="single"/>
    </w:rPr>
  </w:style>
  <w:style w:type="paragraph" w:styleId="ListParagraph">
    <w:name w:val="List Paragraph"/>
    <w:basedOn w:val="Normal"/>
    <w:uiPriority w:val="34"/>
    <w:qFormat/>
    <w:rsid w:val="00A91069"/>
    <w:pPr>
      <w:ind w:left="720"/>
    </w:pPr>
  </w:style>
  <w:style w:type="character" w:styleId="PlaceholderText">
    <w:name w:val="Placeholder Text"/>
    <w:basedOn w:val="DefaultParagraphFont"/>
    <w:uiPriority w:val="99"/>
    <w:semiHidden/>
    <w:rsid w:val="001C4EB1"/>
    <w:rPr>
      <w:color w:val="808080"/>
    </w:rPr>
  </w:style>
  <w:style w:type="character" w:styleId="FollowedHyperlink">
    <w:name w:val="FollowedHyperlink"/>
    <w:basedOn w:val="DefaultParagraphFont"/>
    <w:uiPriority w:val="99"/>
    <w:semiHidden/>
    <w:unhideWhenUsed/>
    <w:rsid w:val="003F5638"/>
    <w:rPr>
      <w:color w:val="800080" w:themeColor="followedHyperlink"/>
      <w:u w:val="single"/>
    </w:rPr>
  </w:style>
  <w:style w:type="character" w:styleId="UnresolvedMention">
    <w:name w:val="Unresolved Mention"/>
    <w:basedOn w:val="DefaultParagraphFont"/>
    <w:uiPriority w:val="99"/>
    <w:semiHidden/>
    <w:unhideWhenUsed/>
    <w:rsid w:val="00B93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 w:id="472140405">
      <w:bodyDiv w:val="1"/>
      <w:marLeft w:val="0"/>
      <w:marRight w:val="0"/>
      <w:marTop w:val="0"/>
      <w:marBottom w:val="0"/>
      <w:divBdr>
        <w:top w:val="none" w:sz="0" w:space="0" w:color="auto"/>
        <w:left w:val="none" w:sz="0" w:space="0" w:color="auto"/>
        <w:bottom w:val="none" w:sz="0" w:space="0" w:color="auto"/>
        <w:right w:val="none" w:sz="0" w:space="0" w:color="auto"/>
      </w:divBdr>
    </w:div>
    <w:div w:id="1512138235">
      <w:bodyDiv w:val="1"/>
      <w:marLeft w:val="0"/>
      <w:marRight w:val="0"/>
      <w:marTop w:val="0"/>
      <w:marBottom w:val="0"/>
      <w:divBdr>
        <w:top w:val="none" w:sz="0" w:space="0" w:color="auto"/>
        <w:left w:val="none" w:sz="0" w:space="0" w:color="auto"/>
        <w:bottom w:val="none" w:sz="0" w:space="0" w:color="auto"/>
        <w:right w:val="none" w:sz="0" w:space="0" w:color="auto"/>
      </w:divBdr>
    </w:div>
    <w:div w:id="1513372112">
      <w:bodyDiv w:val="1"/>
      <w:marLeft w:val="0"/>
      <w:marRight w:val="0"/>
      <w:marTop w:val="0"/>
      <w:marBottom w:val="0"/>
      <w:divBdr>
        <w:top w:val="none" w:sz="0" w:space="0" w:color="auto"/>
        <w:left w:val="none" w:sz="0" w:space="0" w:color="auto"/>
        <w:bottom w:val="none" w:sz="0" w:space="0" w:color="auto"/>
        <w:right w:val="none" w:sz="0" w:space="0" w:color="auto"/>
      </w:divBdr>
    </w:div>
    <w:div w:id="18775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spons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7EE5-9D79-4DF9-AB25-A83B4D9BC4C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8ed82f2-f7bd-423c-8698-5e132afe924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597EFF-FBE0-4E2C-AFE6-34D59CC7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B1D5B-6560-4225-A9CA-8B6F10BCA5E5}">
  <ds:schemaRefs>
    <ds:schemaRef ds:uri="http://schemas.microsoft.com/sharepoint/v3/contenttype/forms"/>
  </ds:schemaRefs>
</ds:datastoreItem>
</file>

<file path=customXml/itemProps4.xml><?xml version="1.0" encoding="utf-8"?>
<ds:datastoreItem xmlns:ds="http://schemas.openxmlformats.org/officeDocument/2006/customXml" ds:itemID="{64B70357-992B-4E10-8D1A-BFC144C4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442</Words>
  <Characters>2704</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Cabinet Policy Submission template</vt:lpstr>
    </vt:vector>
  </TitlesOfParts>
  <Manager/>
  <Company/>
  <LinksUpToDate>false</LinksUpToDate>
  <CharactersWithSpaces>3142</CharactersWithSpaces>
  <SharedDoc>false</SharedDoc>
  <HyperlinkBase>https://www.cabinet.qld.gov.au/documents/2019/Apr/RespRep12/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Policy Submission template</dc:title>
  <dc:subject>Cabinet Policy Submission template</dc:subject>
  <dc:creator/>
  <cp:keywords>Cabinet, policy, submission, template, cabinet and parliamentary services, caps</cp:keywords>
  <dc:description/>
  <cp:lastModifiedBy/>
  <cp:revision>19</cp:revision>
  <cp:lastPrinted>2019-05-23T06:39:00Z</cp:lastPrinted>
  <dcterms:created xsi:type="dcterms:W3CDTF">2019-03-13T04:18:00Z</dcterms:created>
  <dcterms:modified xsi:type="dcterms:W3CDTF">2019-12-11T09:18:00Z</dcterms:modified>
  <cp:category>Health,Legislation,Parliamentary_Committees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